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Gagnef kommunfullmäktige</w:t>
      </w:r>
    </w:p>
    <w:p>
      <w:pPr>
        <w:pStyle w:val="Heading1"/>
      </w:pPr>
      <w:r>
        <w:t xml:space="preserve">Kunskap först – höjda skolresultat i Gagnef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Gagnef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Meritvärdet i Gagnefs skolor ligger på 215 poäng enligt Kolada 2024, under rikssnittet 230. Studiero saknas enligt Skolinspektionens granskning 2023. Moderaterna vill införa mobilförbud och fler lärarassistenter.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Gagnef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mobilförbud införs i Gagnefs grundskolor från årskurs 4.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två lärarassistenter anställs per skola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studiero-mätningar genomförs två gånger per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samverkan med Dalarna universitet förstärks för fortbildning av lärare.</w:t>
      </w:r>
    </w:p>
    <w:p>
      <w:pPr>
        <w:spacing w:before="360"/>
      </w:pPr>
    </w:p>
    <w:p>
      <w:r>
        <w:t xml:space="preserve">Gagnef,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Gagnef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2026-06-06T01:48:21.894Z</dcterms:created>
  <dcterms:modified xsi:type="dcterms:W3CDTF">2026-06-06T01:48:21.894Z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